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97EF" w14:textId="77777777" w:rsidR="006F4524" w:rsidRDefault="00677690">
      <w:pPr>
        <w:pStyle w:val="BodyText"/>
        <w:ind w:left="34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EF9824" wp14:editId="46EF9825">
            <wp:extent cx="2249572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72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97F0" w14:textId="77777777" w:rsidR="006F4524" w:rsidRDefault="00677690">
      <w:pPr>
        <w:spacing w:before="141"/>
        <w:ind w:left="2107" w:right="2108"/>
        <w:jc w:val="center"/>
        <w:rPr>
          <w:rFonts w:ascii="Cambria"/>
          <w:b/>
          <w:sz w:val="44"/>
        </w:rPr>
      </w:pPr>
      <w:r>
        <w:rPr>
          <w:rFonts w:ascii="Cambria"/>
          <w:b/>
          <w:color w:val="243379"/>
          <w:sz w:val="44"/>
        </w:rPr>
        <w:t>JOB</w:t>
      </w:r>
      <w:r>
        <w:rPr>
          <w:rFonts w:ascii="Cambria"/>
          <w:b/>
          <w:color w:val="243379"/>
          <w:spacing w:val="-11"/>
          <w:sz w:val="44"/>
        </w:rPr>
        <w:t xml:space="preserve"> </w:t>
      </w:r>
      <w:r>
        <w:rPr>
          <w:rFonts w:ascii="Cambria"/>
          <w:b/>
          <w:color w:val="243379"/>
          <w:spacing w:val="-3"/>
          <w:sz w:val="44"/>
        </w:rPr>
        <w:t>ANNOUNCEMENT</w:t>
      </w:r>
    </w:p>
    <w:p w14:paraId="46EF97F1" w14:textId="77777777" w:rsidR="006F4524" w:rsidRDefault="00677690">
      <w:pPr>
        <w:spacing w:before="41"/>
        <w:ind w:left="2108" w:right="208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MPO Transportation</w:t>
      </w:r>
      <w:r>
        <w:rPr>
          <w:rFonts w:ascii="Times New Roman"/>
          <w:spacing w:val="-7"/>
          <w:sz w:val="36"/>
        </w:rPr>
        <w:t xml:space="preserve"> </w:t>
      </w:r>
      <w:r>
        <w:rPr>
          <w:rFonts w:ascii="Times New Roman"/>
          <w:sz w:val="36"/>
        </w:rPr>
        <w:t>Modeler</w:t>
      </w:r>
    </w:p>
    <w:p w14:paraId="46EF97F2" w14:textId="77777777" w:rsidR="006F4524" w:rsidRDefault="00677690">
      <w:pPr>
        <w:spacing w:before="297"/>
        <w:ind w:left="2108" w:right="2108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color w:val="243379"/>
          <w:sz w:val="28"/>
        </w:rPr>
        <w:t>Make your mark in our dynamic &amp; diverse region</w:t>
      </w:r>
    </w:p>
    <w:p w14:paraId="46EF97F3" w14:textId="77777777" w:rsidR="006F4524" w:rsidRDefault="006F4524">
      <w:pPr>
        <w:pStyle w:val="BodyText"/>
        <w:spacing w:before="9"/>
        <w:ind w:left="0"/>
        <w:rPr>
          <w:rFonts w:ascii="Times New Roman"/>
          <w:i/>
          <w:sz w:val="26"/>
        </w:rPr>
      </w:pPr>
    </w:p>
    <w:p w14:paraId="46EF97F4" w14:textId="77777777" w:rsidR="006F4524" w:rsidRDefault="00677690">
      <w:pPr>
        <w:pStyle w:val="BodyText"/>
        <w:ind w:left="119" w:right="112"/>
        <w:jc w:val="both"/>
      </w:pPr>
      <w:r>
        <w:t>The Durham-Chapel Hill-Carrboro Metropolitan Planning Organization (MPO) is the regional transportation planning</w:t>
      </w:r>
      <w:r>
        <w:rPr>
          <w:spacing w:val="-10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t>Carolina’s</w:t>
      </w:r>
      <w:r>
        <w:rPr>
          <w:spacing w:val="-11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Triangle.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MPO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programming all</w:t>
      </w:r>
      <w:r>
        <w:rPr>
          <w:spacing w:val="-5"/>
        </w:rPr>
        <w:t xml:space="preserve"> </w:t>
      </w:r>
      <w:r>
        <w:t>modes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highways,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transit,</w:t>
      </w:r>
      <w:r>
        <w:rPr>
          <w:spacing w:val="-4"/>
        </w:rPr>
        <w:t xml:space="preserve"> </w:t>
      </w:r>
      <w:r>
        <w:t>freight,</w:t>
      </w:r>
      <w:r>
        <w:rPr>
          <w:spacing w:val="-6"/>
        </w:rPr>
        <w:t xml:space="preserve"> </w:t>
      </w:r>
      <w:r>
        <w:t>bicycles,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pedestrians.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 regionally based, but community focused. The MPO formulates and implements plans that improve life locally and ensure that these plans reflect our member communities’ collective</w:t>
      </w:r>
      <w:r>
        <w:rPr>
          <w:spacing w:val="-17"/>
        </w:rPr>
        <w:t xml:space="preserve"> </w:t>
      </w:r>
      <w:r>
        <w:t>visi</w:t>
      </w:r>
      <w:r>
        <w:t>on.</w:t>
      </w:r>
    </w:p>
    <w:p w14:paraId="46EF97F5" w14:textId="77777777" w:rsidR="006F4524" w:rsidRDefault="006F4524">
      <w:pPr>
        <w:pStyle w:val="BodyText"/>
        <w:spacing w:before="8"/>
        <w:ind w:left="0"/>
      </w:pPr>
    </w:p>
    <w:p w14:paraId="46EF97F6" w14:textId="77777777" w:rsidR="006F4524" w:rsidRDefault="00677690">
      <w:pPr>
        <w:pStyle w:val="Heading1"/>
        <w:spacing w:before="1"/>
        <w:ind w:left="120"/>
      </w:pPr>
      <w:r>
        <w:rPr>
          <w:u w:val="single"/>
        </w:rPr>
        <w:t>About the Position</w:t>
      </w:r>
    </w:p>
    <w:p w14:paraId="46EF97F7" w14:textId="77777777" w:rsidR="006F4524" w:rsidRDefault="00677690">
      <w:pPr>
        <w:pStyle w:val="BodyText"/>
        <w:ind w:left="119" w:right="220"/>
      </w:pPr>
      <w:r>
        <w:t>This position provides regional transportation planning and modeling support in a formally designated Transportation Management Area that encompasses the western part of the Research Triangle including the cities of Durham, Chapel H</w:t>
      </w:r>
      <w:r>
        <w:t>ill, and Carrboro. The successful candidate will understand advanced data collection, performance measures, model development &amp; applications, and how support to MPO projects, studies, programs, and plans, such as congestion management planning, transportat</w:t>
      </w:r>
      <w:r>
        <w:t>ion improvement programming, and metropolitan transportation planning.</w:t>
      </w:r>
    </w:p>
    <w:p w14:paraId="46EF97F8" w14:textId="77777777" w:rsidR="006F4524" w:rsidRDefault="006F4524">
      <w:pPr>
        <w:pStyle w:val="BodyText"/>
        <w:spacing w:before="6"/>
        <w:ind w:left="0"/>
        <w:rPr>
          <w:sz w:val="23"/>
        </w:rPr>
      </w:pPr>
    </w:p>
    <w:p w14:paraId="46EF97F9" w14:textId="77777777" w:rsidR="006F4524" w:rsidRDefault="00677690">
      <w:pPr>
        <w:pStyle w:val="BodyText"/>
        <w:ind w:left="120" w:right="427"/>
      </w:pPr>
      <w:r>
        <w:t>Responsible for developing, updating, and maintaining computer models and programs; developing and maintaining the MPO information including data collection; serving as project manager</w:t>
      </w:r>
      <w:r>
        <w:t xml:space="preserve"> for technology projects; providing modeling and technical support for studies, programs, and plans; and leading intern staff work.</w:t>
      </w:r>
    </w:p>
    <w:p w14:paraId="46EF97FA" w14:textId="77777777" w:rsidR="006F4524" w:rsidRDefault="006F4524">
      <w:pPr>
        <w:pStyle w:val="BodyText"/>
        <w:spacing w:before="6"/>
        <w:ind w:left="0"/>
        <w:rPr>
          <w:sz w:val="23"/>
        </w:rPr>
      </w:pPr>
    </w:p>
    <w:p w14:paraId="46EF97FB" w14:textId="77777777" w:rsidR="006F4524" w:rsidRDefault="00677690">
      <w:pPr>
        <w:pStyle w:val="BodyText"/>
        <w:ind w:left="120"/>
      </w:pPr>
      <w:r>
        <w:t>As assigned, the modeler leads projects, assigns work, and monitors task completion.</w:t>
      </w:r>
    </w:p>
    <w:p w14:paraId="46EF97FC" w14:textId="77777777" w:rsidR="006F4524" w:rsidRDefault="006F4524">
      <w:pPr>
        <w:pStyle w:val="BodyText"/>
        <w:spacing w:before="5"/>
        <w:ind w:left="0"/>
        <w:rPr>
          <w:sz w:val="23"/>
        </w:rPr>
      </w:pPr>
    </w:p>
    <w:p w14:paraId="46EF97FD" w14:textId="77777777" w:rsidR="006F4524" w:rsidRDefault="00677690">
      <w:pPr>
        <w:ind w:left="119" w:right="266"/>
        <w:rPr>
          <w:b/>
          <w:i/>
        </w:rPr>
      </w:pPr>
      <w:r>
        <w:rPr>
          <w:b/>
          <w:i/>
        </w:rPr>
        <w:t>The MPO’s office, based in Durham NC, currently operates under a flexible, hybrid work policy. Effective July 1, 2023, the MPO will migrate from the City of Durham to the Triangle J Council of Governments.</w:t>
      </w:r>
    </w:p>
    <w:p w14:paraId="46EF97FF" w14:textId="77777777" w:rsidR="006F4524" w:rsidRDefault="006F4524">
      <w:pPr>
        <w:pStyle w:val="BodyText"/>
        <w:spacing w:before="11"/>
        <w:ind w:left="0"/>
        <w:rPr>
          <w:b/>
          <w:i/>
        </w:rPr>
      </w:pPr>
    </w:p>
    <w:p w14:paraId="46EF9800" w14:textId="77777777" w:rsidR="006F4524" w:rsidRDefault="00677690">
      <w:pPr>
        <w:ind w:left="240"/>
        <w:jc w:val="both"/>
        <w:rPr>
          <w:b/>
        </w:rPr>
      </w:pPr>
      <w:bookmarkStart w:id="0" w:name="Description_of_Work"/>
      <w:bookmarkEnd w:id="0"/>
      <w:r>
        <w:rPr>
          <w:b/>
          <w:u w:val="single"/>
        </w:rPr>
        <w:t>Description of Work</w:t>
      </w:r>
    </w:p>
    <w:p w14:paraId="46EF9801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74" w:hanging="360"/>
        <w:rPr>
          <w:rFonts w:ascii="Symbol" w:hAnsi="Symbol"/>
        </w:rPr>
      </w:pPr>
      <w:r>
        <w:t>Develops and maintains the MPO data management system to include developing data collection and processing procedures, conducting needs assessments, and developing and tracking system performance</w:t>
      </w:r>
      <w:r>
        <w:rPr>
          <w:spacing w:val="-3"/>
        </w:rPr>
        <w:t xml:space="preserve"> </w:t>
      </w:r>
      <w:r>
        <w:t>mea</w:t>
      </w:r>
      <w:r>
        <w:t>sures.</w:t>
      </w:r>
    </w:p>
    <w:p w14:paraId="46EF9802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line="273" w:lineRule="auto"/>
        <w:ind w:right="177" w:hanging="360"/>
        <w:rPr>
          <w:rFonts w:ascii="Symbol" w:hAnsi="Symbol"/>
        </w:rPr>
      </w:pPr>
      <w:r>
        <w:t>Provides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Congestion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(CMP)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Intelligent</w:t>
      </w:r>
      <w:r>
        <w:rPr>
          <w:spacing w:val="-13"/>
        </w:rPr>
        <w:t xml:space="preserve"> </w:t>
      </w:r>
      <w:r>
        <w:t>Transportation</w:t>
      </w:r>
      <w:r>
        <w:rPr>
          <w:spacing w:val="-11"/>
        </w:rPr>
        <w:t xml:space="preserve"> </w:t>
      </w:r>
      <w:r>
        <w:t>Systems (ITS) projects and</w:t>
      </w:r>
      <w:r>
        <w:rPr>
          <w:spacing w:val="-4"/>
        </w:rPr>
        <w:t xml:space="preserve"> </w:t>
      </w:r>
      <w:r>
        <w:t>plan.</w:t>
      </w:r>
    </w:p>
    <w:p w14:paraId="46EF9803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before="125" w:line="276" w:lineRule="auto"/>
        <w:ind w:right="174" w:hanging="360"/>
        <w:rPr>
          <w:rFonts w:ascii="Symbol" w:hAnsi="Symbol"/>
        </w:rPr>
      </w:pPr>
      <w:r>
        <w:t>May update and maintain computer models and programs; provides modeling support for transportation studies, programs and plans; prepares forecasts; analyzes the model results and policy-related data; conducts traffic simulation studies and testing scenario</w:t>
      </w:r>
      <w:r>
        <w:t>s; and reports model results.</w:t>
      </w:r>
    </w:p>
    <w:p w14:paraId="46EF9804" w14:textId="77777777" w:rsidR="006F4524" w:rsidRDefault="006F4524">
      <w:pPr>
        <w:spacing w:line="276" w:lineRule="auto"/>
        <w:jc w:val="both"/>
        <w:rPr>
          <w:rFonts w:ascii="Symbol" w:hAnsi="Symbol"/>
        </w:rPr>
        <w:sectPr w:rsidR="006F4524">
          <w:type w:val="continuous"/>
          <w:pgSz w:w="12240" w:h="15840"/>
          <w:pgMar w:top="1360" w:right="1200" w:bottom="280" w:left="1200" w:header="720" w:footer="720" w:gutter="0"/>
          <w:cols w:space="720"/>
        </w:sectPr>
      </w:pPr>
    </w:p>
    <w:p w14:paraId="46EF9805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before="80" w:line="276" w:lineRule="auto"/>
        <w:ind w:right="174" w:hanging="360"/>
        <w:rPr>
          <w:rFonts w:ascii="Symbol" w:hAnsi="Symbol"/>
        </w:rPr>
      </w:pPr>
      <w:r>
        <w:lastRenderedPageBreak/>
        <w:t>Analyzes highly technical data; develops and makes recommendations for technical projects; reviews work and the work of others to ensure accuracy; Prepares, maintains, and/or reviews technical and other reports, re</w:t>
      </w:r>
      <w:r>
        <w:t>cords, and</w:t>
      </w:r>
      <w:r>
        <w:rPr>
          <w:spacing w:val="-7"/>
        </w:rPr>
        <w:t xml:space="preserve"> </w:t>
      </w:r>
      <w:r>
        <w:t>documents.</w:t>
      </w:r>
    </w:p>
    <w:p w14:paraId="46EF9806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74" w:hanging="360"/>
        <w:rPr>
          <w:rFonts w:ascii="Symbol" w:hAnsi="Symbol"/>
        </w:rPr>
      </w:pPr>
      <w:r>
        <w:t>Manages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projects;</w:t>
      </w:r>
      <w:r>
        <w:rPr>
          <w:spacing w:val="-10"/>
        </w:rPr>
        <w:t xml:space="preserve"> </w:t>
      </w:r>
      <w:r>
        <w:t>evaluates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recommends</w:t>
      </w:r>
      <w:r>
        <w:rPr>
          <w:spacing w:val="-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priorities;</w:t>
      </w:r>
      <w:r>
        <w:rPr>
          <w:spacing w:val="-9"/>
        </w:rPr>
        <w:t xml:space="preserve"> </w:t>
      </w:r>
      <w:r>
        <w:t>determines</w:t>
      </w:r>
      <w:r>
        <w:rPr>
          <w:spacing w:val="-8"/>
        </w:rPr>
        <w:t xml:space="preserve"> </w:t>
      </w:r>
      <w:r>
        <w:t>project scope; identifies project cost and budget; monitors staff or consultant work and participation in project; reviews deliverables and makes</w:t>
      </w:r>
      <w:r>
        <w:t xml:space="preserve"> recommendations for improvements; and ensures adherence to project schedules, budgets, and other applicable regulations, policies, and procedures.</w:t>
      </w:r>
    </w:p>
    <w:p w14:paraId="46EF9807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before="119" w:line="276" w:lineRule="auto"/>
        <w:ind w:right="175" w:hanging="360"/>
        <w:rPr>
          <w:rFonts w:ascii="Symbol" w:hAnsi="Symbol"/>
        </w:rPr>
      </w:pPr>
      <w:r>
        <w:t>May prepare and present material to elected officials, DCHCMPO Technical Coordinating Committee,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interns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directing</w:t>
      </w:r>
      <w:r>
        <w:rPr>
          <w:spacing w:val="-11"/>
        </w:rPr>
        <w:t xml:space="preserve"> </w:t>
      </w:r>
      <w:r>
        <w:t>work activities, managing schedules, mentoring, and</w:t>
      </w:r>
      <w:r>
        <w:rPr>
          <w:spacing w:val="-6"/>
        </w:rPr>
        <w:t xml:space="preserve"> </w:t>
      </w:r>
      <w:r>
        <w:t>coaching.</w:t>
      </w:r>
    </w:p>
    <w:p w14:paraId="46EF9808" w14:textId="77777777" w:rsidR="006F4524" w:rsidRDefault="00677690">
      <w:pPr>
        <w:pStyle w:val="Heading1"/>
        <w:spacing w:before="120"/>
        <w:jc w:val="both"/>
      </w:pPr>
      <w:bookmarkStart w:id="1" w:name="Education_and_Experience"/>
      <w:bookmarkEnd w:id="1"/>
      <w:r>
        <w:rPr>
          <w:u w:val="single"/>
        </w:rPr>
        <w:t>Education and Experience</w:t>
      </w:r>
    </w:p>
    <w:p w14:paraId="46EF9809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21"/>
        <w:jc w:val="left"/>
        <w:rPr>
          <w:rFonts w:ascii="Symbol" w:hAnsi="Symbol"/>
        </w:rPr>
      </w:pPr>
      <w:r>
        <w:t>Bachelor’s degree in engineering, computer science, and/or applied</w:t>
      </w:r>
      <w:r>
        <w:rPr>
          <w:spacing w:val="-14"/>
        </w:rPr>
        <w:t xml:space="preserve"> </w:t>
      </w:r>
      <w:r>
        <w:t>mathematics.</w:t>
      </w:r>
    </w:p>
    <w:p w14:paraId="46EF980A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before="159" w:line="276" w:lineRule="auto"/>
        <w:ind w:right="711" w:hanging="360"/>
        <w:rPr>
          <w:rFonts w:ascii="Symbol" w:hAnsi="Symbol"/>
        </w:rPr>
      </w:pPr>
      <w:r>
        <w:t>Five (5) years of professional experience that includes one or more of the following: traffic analysis &amp; simulation, intelligent transportation systems, congestion management p</w:t>
      </w:r>
      <w:r>
        <w:t>rocess, travel</w:t>
      </w:r>
      <w:r>
        <w:rPr>
          <w:spacing w:val="-9"/>
        </w:rPr>
        <w:t xml:space="preserve"> </w:t>
      </w:r>
      <w:r>
        <w:t>demand</w:t>
      </w:r>
      <w:r>
        <w:rPr>
          <w:spacing w:val="-12"/>
        </w:rPr>
        <w:t xml:space="preserve"> </w:t>
      </w:r>
      <w:r>
        <w:t>modeling,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interpretation,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an equivalent combination of graduate study/education and directly related work</w:t>
      </w:r>
      <w:r>
        <w:rPr>
          <w:spacing w:val="-31"/>
        </w:rPr>
        <w:t xml:space="preserve"> </w:t>
      </w:r>
      <w:r>
        <w:t>experience).</w:t>
      </w:r>
    </w:p>
    <w:p w14:paraId="46EF980B" w14:textId="77777777" w:rsidR="006F4524" w:rsidRDefault="00677690">
      <w:pPr>
        <w:pStyle w:val="Heading1"/>
        <w:spacing w:before="120"/>
        <w:ind w:left="120"/>
        <w:jc w:val="both"/>
      </w:pPr>
      <w:r>
        <w:rPr>
          <w:u w:val="single"/>
        </w:rPr>
        <w:t>Additional Preferred Skills</w:t>
      </w:r>
    </w:p>
    <w:p w14:paraId="46EF980C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1"/>
        </w:tabs>
        <w:spacing w:before="161" w:line="273" w:lineRule="auto"/>
        <w:ind w:right="712" w:hanging="360"/>
        <w:rPr>
          <w:rFonts w:ascii="Symbol" w:hAnsi="Symbol"/>
        </w:rPr>
      </w:pPr>
      <w:r>
        <w:t>Experience in travel demand modeling and</w:t>
      </w:r>
      <w:r>
        <w:t>/or traffic simulation modeling. (</w:t>
      </w:r>
      <w:proofErr w:type="spellStart"/>
      <w:r>
        <w:t>TransCAD</w:t>
      </w:r>
      <w:proofErr w:type="spellEnd"/>
      <w:r>
        <w:t xml:space="preserve"> with GISDK or</w:t>
      </w:r>
      <w:r>
        <w:rPr>
          <w:spacing w:val="-3"/>
        </w:rPr>
        <w:t xml:space="preserve"> </w:t>
      </w:r>
      <w:proofErr w:type="spellStart"/>
      <w:r>
        <w:t>TransCAD</w:t>
      </w:r>
      <w:proofErr w:type="spellEnd"/>
      <w:r>
        <w:t>)</w:t>
      </w:r>
    </w:p>
    <w:p w14:paraId="46EF980D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25"/>
        <w:jc w:val="left"/>
        <w:rPr>
          <w:rFonts w:ascii="Symbol" w:hAnsi="Symbol"/>
        </w:rPr>
      </w:pPr>
      <w:r>
        <w:t>Familiarity with Intelligent Transportation</w:t>
      </w:r>
      <w:r>
        <w:rPr>
          <w:spacing w:val="-5"/>
        </w:rPr>
        <w:t xml:space="preserve"> </w:t>
      </w:r>
      <w:r>
        <w:t>Systems.</w:t>
      </w:r>
    </w:p>
    <w:p w14:paraId="46EF980E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9"/>
        <w:jc w:val="left"/>
        <w:rPr>
          <w:rFonts w:ascii="Symbol" w:hAnsi="Symbol"/>
        </w:rPr>
      </w:pPr>
      <w:r>
        <w:t>Computer programming/scripting skills (JAVA, C++, Python, R or</w:t>
      </w:r>
      <w:r>
        <w:rPr>
          <w:spacing w:val="-10"/>
        </w:rPr>
        <w:t xml:space="preserve"> </w:t>
      </w:r>
      <w:r>
        <w:t>similar).</w:t>
      </w:r>
    </w:p>
    <w:p w14:paraId="46EF980F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61"/>
        <w:jc w:val="left"/>
        <w:rPr>
          <w:rFonts w:ascii="Symbol" w:hAnsi="Symbol"/>
        </w:rPr>
      </w:pPr>
      <w:r>
        <w:t>Database programming and</w:t>
      </w:r>
      <w:r>
        <w:rPr>
          <w:spacing w:val="-2"/>
        </w:rPr>
        <w:t xml:space="preserve"> </w:t>
      </w:r>
      <w:r>
        <w:t>statistics.</w:t>
      </w:r>
    </w:p>
    <w:p w14:paraId="46EF9810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9"/>
        <w:jc w:val="left"/>
        <w:rPr>
          <w:rFonts w:ascii="Symbol" w:hAnsi="Symbol"/>
        </w:rPr>
      </w:pPr>
      <w:r>
        <w:t>Geography Information Syst</w:t>
      </w:r>
      <w:r>
        <w:t>ems</w:t>
      </w:r>
      <w:r>
        <w:rPr>
          <w:spacing w:val="-3"/>
        </w:rPr>
        <w:t xml:space="preserve"> </w:t>
      </w:r>
      <w:r>
        <w:t>(GIS).</w:t>
      </w:r>
    </w:p>
    <w:p w14:paraId="46EF9811" w14:textId="77777777" w:rsidR="006F4524" w:rsidRDefault="00677690">
      <w:pPr>
        <w:pStyle w:val="Heading1"/>
        <w:spacing w:before="190"/>
        <w:ind w:left="480"/>
      </w:pPr>
      <w:bookmarkStart w:id="2" w:name="Salary_&amp;_Benefits"/>
      <w:bookmarkEnd w:id="2"/>
      <w:r>
        <w:rPr>
          <w:color w:val="202A35"/>
          <w:u w:val="single" w:color="202A35"/>
        </w:rPr>
        <w:t>Salary &amp; Benefits</w:t>
      </w:r>
    </w:p>
    <w:p w14:paraId="46EF9812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5"/>
        <w:jc w:val="left"/>
        <w:rPr>
          <w:rFonts w:ascii="Symbol" w:hAnsi="Symbol"/>
          <w:b/>
          <w:color w:val="202A35"/>
        </w:rPr>
      </w:pPr>
      <w:r>
        <w:rPr>
          <w:color w:val="202A35"/>
        </w:rPr>
        <w:t xml:space="preserve">Hiring Range: </w:t>
      </w:r>
      <w:r>
        <w:rPr>
          <w:b/>
          <w:color w:val="202A35"/>
        </w:rPr>
        <w:t>$65,075 -</w:t>
      </w:r>
      <w:r>
        <w:rPr>
          <w:b/>
          <w:color w:val="202A35"/>
          <w:spacing w:val="-2"/>
        </w:rPr>
        <w:t xml:space="preserve"> </w:t>
      </w:r>
      <w:r>
        <w:rPr>
          <w:b/>
          <w:color w:val="202A35"/>
        </w:rPr>
        <w:t>$82,977</w:t>
      </w:r>
    </w:p>
    <w:p w14:paraId="46EF9813" w14:textId="77777777" w:rsidR="006F4524" w:rsidRDefault="00677690">
      <w:pPr>
        <w:pStyle w:val="BodyText"/>
        <w:spacing w:before="29"/>
        <w:ind w:left="839"/>
      </w:pPr>
      <w:r>
        <w:rPr>
          <w:color w:val="202A35"/>
        </w:rPr>
        <w:t>(Employee will be eligible for a 5% increase after serving a 6-month probation period.)</w:t>
      </w:r>
    </w:p>
    <w:p w14:paraId="46EF9814" w14:textId="77777777" w:rsidR="006F4524" w:rsidRDefault="006F4524">
      <w:pPr>
        <w:pStyle w:val="BodyText"/>
        <w:spacing w:before="3"/>
        <w:ind w:left="0"/>
        <w:rPr>
          <w:sz w:val="23"/>
        </w:rPr>
      </w:pPr>
    </w:p>
    <w:p w14:paraId="46EF9815" w14:textId="77777777" w:rsidR="006F4524" w:rsidRDefault="00677690">
      <w:pPr>
        <w:pStyle w:val="ListParagraph"/>
        <w:numPr>
          <w:ilvl w:val="0"/>
          <w:numId w:val="2"/>
        </w:numPr>
        <w:tabs>
          <w:tab w:val="left" w:pos="840"/>
        </w:tabs>
        <w:spacing w:before="0" w:line="252" w:lineRule="auto"/>
        <w:ind w:left="839" w:right="232" w:hanging="360"/>
        <w:rPr>
          <w:rFonts w:ascii="Symbol" w:hAnsi="Symbol"/>
        </w:rPr>
      </w:pPr>
      <w:r>
        <w:rPr>
          <w:color w:val="202A35"/>
        </w:rPr>
        <w:t>Benefits: The Triangle J Council of Governments offers a generous benefits package including paid vacation and sick leave; NC Local Government Retirement System; 5% 401(k) employer contribution; employer-paid health, dental, vision and life insurance; heal</w:t>
      </w:r>
      <w:r>
        <w:rPr>
          <w:color w:val="202A35"/>
        </w:rPr>
        <w:t>th spending account, flexible spending account for child/dependent care expenses; and flexible schedules and hybrid work</w:t>
      </w:r>
      <w:r>
        <w:rPr>
          <w:color w:val="202A35"/>
          <w:spacing w:val="-3"/>
        </w:rPr>
        <w:t xml:space="preserve"> </w:t>
      </w:r>
      <w:r>
        <w:rPr>
          <w:color w:val="202A35"/>
        </w:rPr>
        <w:t>environment.</w:t>
      </w:r>
    </w:p>
    <w:p w14:paraId="46EF9816" w14:textId="77777777" w:rsidR="006F4524" w:rsidRDefault="006F4524">
      <w:pPr>
        <w:pStyle w:val="BodyText"/>
        <w:spacing w:before="4"/>
        <w:ind w:left="0"/>
      </w:pPr>
    </w:p>
    <w:p w14:paraId="46EF9817" w14:textId="77777777" w:rsidR="006F4524" w:rsidRDefault="00677690">
      <w:pPr>
        <w:pStyle w:val="Heading1"/>
        <w:jc w:val="both"/>
      </w:pPr>
      <w:bookmarkStart w:id="3" w:name="Our_Organization"/>
      <w:bookmarkEnd w:id="3"/>
      <w:r>
        <w:rPr>
          <w:u w:val="single"/>
        </w:rPr>
        <w:t>Our Organization</w:t>
      </w:r>
    </w:p>
    <w:p w14:paraId="46EF9818" w14:textId="77777777" w:rsidR="006F4524" w:rsidRDefault="00677690">
      <w:pPr>
        <w:pStyle w:val="BodyText"/>
        <w:spacing w:before="22" w:line="259" w:lineRule="auto"/>
        <w:ind w:left="240" w:right="220" w:hanging="1"/>
      </w:pPr>
      <w:r>
        <w:t>Providing a platform for collaboration among local governments, stakeholders, and partners in our divers</w:t>
      </w:r>
      <w:r>
        <w:t>e region of NC</w:t>
      </w:r>
      <w:r>
        <w:rPr>
          <w:b/>
        </w:rPr>
        <w:t xml:space="preserve">. </w:t>
      </w:r>
      <w:r>
        <w:t xml:space="preserve">See the kind of work we do at </w:t>
      </w:r>
      <w:hyperlink r:id="rId6">
        <w:r>
          <w:rPr>
            <w:color w:val="0561C1"/>
            <w:u w:val="single" w:color="0561C1"/>
          </w:rPr>
          <w:t>www.tjcog.org</w:t>
        </w:r>
      </w:hyperlink>
    </w:p>
    <w:p w14:paraId="46EF9819" w14:textId="77777777" w:rsidR="006F4524" w:rsidRDefault="006F4524">
      <w:pPr>
        <w:spacing w:line="259" w:lineRule="auto"/>
        <w:sectPr w:rsidR="006F4524">
          <w:pgSz w:w="12240" w:h="15840"/>
          <w:pgMar w:top="1280" w:right="1200" w:bottom="280" w:left="1200" w:header="720" w:footer="720" w:gutter="0"/>
          <w:cols w:space="720"/>
        </w:sectPr>
      </w:pPr>
    </w:p>
    <w:p w14:paraId="46EF981A" w14:textId="77777777" w:rsidR="006F4524" w:rsidRDefault="00677690">
      <w:pPr>
        <w:pStyle w:val="Heading1"/>
        <w:spacing w:before="37"/>
      </w:pPr>
      <w:bookmarkStart w:id="4" w:name="How_to_Apply"/>
      <w:bookmarkEnd w:id="4"/>
      <w:r>
        <w:rPr>
          <w:u w:val="single"/>
        </w:rPr>
        <w:lastRenderedPageBreak/>
        <w:t>How to Apply</w:t>
      </w:r>
    </w:p>
    <w:p w14:paraId="46EF981B" w14:textId="77777777" w:rsidR="006F4524" w:rsidRDefault="006F4524">
      <w:pPr>
        <w:pStyle w:val="BodyText"/>
        <w:spacing w:before="7"/>
        <w:ind w:left="0"/>
        <w:rPr>
          <w:b/>
          <w:sz w:val="10"/>
        </w:rPr>
      </w:pPr>
    </w:p>
    <w:p w14:paraId="46EF981C" w14:textId="77777777" w:rsidR="006F4524" w:rsidRDefault="00677690">
      <w:pPr>
        <w:pStyle w:val="ListParagraph"/>
        <w:numPr>
          <w:ilvl w:val="0"/>
          <w:numId w:val="1"/>
        </w:numPr>
        <w:tabs>
          <w:tab w:val="left" w:pos="601"/>
        </w:tabs>
        <w:spacing w:before="56" w:line="256" w:lineRule="auto"/>
        <w:ind w:right="1730" w:hanging="360"/>
        <w:rPr>
          <w:color w:val="202A35"/>
        </w:rPr>
      </w:pPr>
      <w:r>
        <w:t>Download</w:t>
      </w:r>
      <w:r>
        <w:rPr>
          <w:spacing w:val="-14"/>
        </w:rPr>
        <w:t xml:space="preserve"> </w:t>
      </w:r>
      <w:r>
        <w:t>TJCOG</w:t>
      </w:r>
      <w:r>
        <w:rPr>
          <w:spacing w:val="-16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at:</w:t>
      </w:r>
      <w:r>
        <w:rPr>
          <w:color w:val="85C0F9"/>
          <w:spacing w:val="-13"/>
        </w:rPr>
        <w:t xml:space="preserve"> </w:t>
      </w:r>
      <w:hyperlink r:id="rId7">
        <w:r>
          <w:rPr>
            <w:color w:val="85C0F9"/>
            <w:u w:val="single" w:color="85C0F9"/>
          </w:rPr>
          <w:t>https://www.tjcog.org/about/our-job-</w:t>
        </w:r>
      </w:hyperlink>
      <w:hyperlink r:id="rId8">
        <w:r>
          <w:rPr>
            <w:color w:val="85C0F9"/>
            <w:u w:val="single" w:color="85C0F9"/>
          </w:rPr>
          <w:t xml:space="preserve"> </w:t>
        </w:r>
        <w:r>
          <w:rPr>
            <w:color w:val="85C0F9"/>
            <w:spacing w:val="-3"/>
            <w:u w:val="single" w:color="85C0F9"/>
          </w:rPr>
          <w:t>opportunities</w:t>
        </w:r>
      </w:hyperlink>
    </w:p>
    <w:p w14:paraId="46EF981D" w14:textId="77777777" w:rsidR="006F4524" w:rsidRDefault="00677690">
      <w:pPr>
        <w:pStyle w:val="ListParagraph"/>
        <w:numPr>
          <w:ilvl w:val="0"/>
          <w:numId w:val="1"/>
        </w:numPr>
        <w:tabs>
          <w:tab w:val="left" w:pos="601"/>
        </w:tabs>
        <w:spacing w:before="4" w:line="259" w:lineRule="auto"/>
        <w:ind w:right="760" w:hanging="360"/>
      </w:pPr>
      <w:r>
        <w:t>Send</w:t>
      </w:r>
      <w:r>
        <w:rPr>
          <w:spacing w:val="-7"/>
        </w:rPr>
        <w:t xml:space="preserve"> </w:t>
      </w:r>
      <w:r>
        <w:rPr>
          <w:u w:val="single"/>
        </w:rPr>
        <w:t>completed</w:t>
      </w:r>
      <w:r>
        <w:rPr>
          <w:spacing w:val="-7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package</w:t>
      </w:r>
      <w:r>
        <w:rPr>
          <w:spacing w:val="-6"/>
        </w:rPr>
        <w:t xml:space="preserve"> </w:t>
      </w:r>
      <w:r>
        <w:t>(cover</w:t>
      </w:r>
      <w:r>
        <w:rPr>
          <w:spacing w:val="-7"/>
        </w:rPr>
        <w:t xml:space="preserve"> </w:t>
      </w:r>
      <w:r>
        <w:t>letter,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resume)</w:t>
      </w:r>
      <w:r>
        <w:rPr>
          <w:spacing w:val="-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 to</w:t>
      </w:r>
      <w:r>
        <w:rPr>
          <w:color w:val="243379"/>
        </w:rPr>
        <w:t xml:space="preserve"> </w:t>
      </w:r>
      <w:hyperlink r:id="rId9">
        <w:r>
          <w:rPr>
            <w:color w:val="243379"/>
            <w:u w:val="single" w:color="243379"/>
          </w:rPr>
          <w:t>employment@tjcog.org</w:t>
        </w:r>
        <w:r>
          <w:rPr>
            <w:color w:val="243379"/>
          </w:rPr>
          <w:t xml:space="preserve"> </w:t>
        </w:r>
      </w:hyperlink>
      <w:r>
        <w:t>with the subject MPO</w:t>
      </w:r>
      <w:r>
        <w:rPr>
          <w:spacing w:val="-12"/>
        </w:rPr>
        <w:t xml:space="preserve"> </w:t>
      </w:r>
      <w:r>
        <w:t>Mo</w:t>
      </w:r>
      <w:r>
        <w:t>deler.</w:t>
      </w:r>
    </w:p>
    <w:p w14:paraId="46EF981E" w14:textId="77777777" w:rsidR="006F4524" w:rsidRDefault="006F4524">
      <w:pPr>
        <w:pStyle w:val="BodyText"/>
        <w:spacing w:before="9"/>
        <w:ind w:left="0"/>
        <w:rPr>
          <w:sz w:val="25"/>
        </w:rPr>
      </w:pPr>
    </w:p>
    <w:p w14:paraId="46EF981F" w14:textId="77777777" w:rsidR="006F4524" w:rsidRDefault="00677690">
      <w:pPr>
        <w:pStyle w:val="Heading1"/>
        <w:spacing w:before="56" w:line="256" w:lineRule="auto"/>
        <w:ind w:left="239"/>
      </w:pPr>
      <w:bookmarkStart w:id="5" w:name="Incomplete_applications_will_not_be_cons"/>
      <w:bookmarkEnd w:id="5"/>
      <w:r>
        <w:rPr>
          <w:color w:val="202A35"/>
        </w:rPr>
        <w:t>Incomplete applications will not be considered. Position is open until filled; initial review of applications begins May 1, 2023.</w:t>
      </w:r>
    </w:p>
    <w:p w14:paraId="46EF9820" w14:textId="77777777" w:rsidR="006F4524" w:rsidRDefault="006F4524">
      <w:pPr>
        <w:pStyle w:val="BodyText"/>
        <w:spacing w:before="4"/>
        <w:ind w:left="0"/>
        <w:rPr>
          <w:b/>
        </w:rPr>
      </w:pPr>
    </w:p>
    <w:p w14:paraId="46EF9821" w14:textId="77777777" w:rsidR="006F4524" w:rsidRDefault="00677690">
      <w:pPr>
        <w:ind w:left="239"/>
        <w:rPr>
          <w:b/>
        </w:rPr>
      </w:pPr>
      <w:r>
        <w:rPr>
          <w:b/>
        </w:rPr>
        <w:t>All employment offers will be within the stated hiring rage.</w:t>
      </w:r>
    </w:p>
    <w:p w14:paraId="46EF9822" w14:textId="77777777" w:rsidR="006F4524" w:rsidRDefault="006F4524">
      <w:pPr>
        <w:pStyle w:val="BodyText"/>
        <w:spacing w:before="7"/>
        <w:ind w:left="0"/>
        <w:rPr>
          <w:b/>
        </w:rPr>
      </w:pPr>
    </w:p>
    <w:p w14:paraId="46EF9823" w14:textId="77777777" w:rsidR="006F4524" w:rsidRDefault="00677690">
      <w:pPr>
        <w:spacing w:before="1"/>
        <w:ind w:left="239"/>
        <w:rPr>
          <w:i/>
        </w:rPr>
      </w:pPr>
      <w:r>
        <w:rPr>
          <w:i/>
        </w:rPr>
        <w:t>TJCOG is an Equal Opportunity Employer and designated Best Work</w:t>
      </w:r>
      <w:r>
        <w:rPr>
          <w:i/>
        </w:rPr>
        <w:t>place for Commuters.</w:t>
      </w:r>
    </w:p>
    <w:sectPr w:rsidR="006F4524">
      <w:pgSz w:w="12240" w:h="15840"/>
      <w:pgMar w:top="13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17A"/>
    <w:multiLevelType w:val="hybridMultilevel"/>
    <w:tmpl w:val="83D898C6"/>
    <w:lvl w:ilvl="0" w:tplc="91CA621A"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en-US"/>
      </w:rPr>
    </w:lvl>
    <w:lvl w:ilvl="1" w:tplc="F1B8E922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en-US"/>
      </w:rPr>
    </w:lvl>
    <w:lvl w:ilvl="2" w:tplc="74C87F0C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3" w:tplc="716E1DEA">
      <w:numFmt w:val="bullet"/>
      <w:lvlText w:val="•"/>
      <w:lvlJc w:val="left"/>
      <w:pPr>
        <w:ind w:left="3540" w:hanging="361"/>
      </w:pPr>
      <w:rPr>
        <w:rFonts w:hint="default"/>
        <w:lang w:val="en-US" w:eastAsia="en-US" w:bidi="en-US"/>
      </w:rPr>
    </w:lvl>
    <w:lvl w:ilvl="4" w:tplc="F86E2208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en-US"/>
      </w:rPr>
    </w:lvl>
    <w:lvl w:ilvl="5" w:tplc="CE4A7B5C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en-US"/>
      </w:rPr>
    </w:lvl>
    <w:lvl w:ilvl="6" w:tplc="114CF16C"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en-US"/>
      </w:rPr>
    </w:lvl>
    <w:lvl w:ilvl="7" w:tplc="7064398E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en-US"/>
      </w:rPr>
    </w:lvl>
    <w:lvl w:ilvl="8" w:tplc="902EC7A0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0A37217"/>
    <w:multiLevelType w:val="hybridMultilevel"/>
    <w:tmpl w:val="7F88200C"/>
    <w:lvl w:ilvl="0" w:tplc="EE888B5A">
      <w:start w:val="1"/>
      <w:numFmt w:val="decimal"/>
      <w:lvlText w:val="%1."/>
      <w:lvlJc w:val="left"/>
      <w:pPr>
        <w:ind w:left="600" w:hanging="361"/>
        <w:jc w:val="left"/>
      </w:pPr>
      <w:rPr>
        <w:rFonts w:hint="default"/>
        <w:w w:val="100"/>
        <w:lang w:val="en-US" w:eastAsia="en-US" w:bidi="en-US"/>
      </w:rPr>
    </w:lvl>
    <w:lvl w:ilvl="1" w:tplc="761C9282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2" w:tplc="31D66622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8F2E3D06">
      <w:numFmt w:val="bullet"/>
      <w:lvlText w:val="•"/>
      <w:lvlJc w:val="left"/>
      <w:pPr>
        <w:ind w:left="3372" w:hanging="361"/>
      </w:pPr>
      <w:rPr>
        <w:rFonts w:hint="default"/>
        <w:lang w:val="en-US" w:eastAsia="en-US" w:bidi="en-US"/>
      </w:rPr>
    </w:lvl>
    <w:lvl w:ilvl="4" w:tplc="8B56CFBE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4AF6366C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3E7209C0"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en-US"/>
      </w:rPr>
    </w:lvl>
    <w:lvl w:ilvl="7" w:tplc="8B0CE95C">
      <w:numFmt w:val="bullet"/>
      <w:lvlText w:val="•"/>
      <w:lvlJc w:val="left"/>
      <w:pPr>
        <w:ind w:left="7068" w:hanging="361"/>
      </w:pPr>
      <w:rPr>
        <w:rFonts w:hint="default"/>
        <w:lang w:val="en-US" w:eastAsia="en-US" w:bidi="en-US"/>
      </w:rPr>
    </w:lvl>
    <w:lvl w:ilvl="8" w:tplc="2AA09578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en-US"/>
      </w:rPr>
    </w:lvl>
  </w:abstractNum>
  <w:num w:numId="1" w16cid:durableId="1310944316">
    <w:abstractNumId w:val="1"/>
  </w:num>
  <w:num w:numId="2" w16cid:durableId="66416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524"/>
    <w:rsid w:val="00677690"/>
    <w:rsid w:val="006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97EF"/>
  <w15:docId w15:val="{60419EEC-2A90-44C2-B614-0A1958D9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og.org/about/our-job-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jcog.org/about/our-job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cog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ployment@tj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4728</Characters>
  <Application>Microsoft Office Word</Application>
  <DocSecurity>0</DocSecurity>
  <Lines>39</Lines>
  <Paragraphs>11</Paragraphs>
  <ScaleCrop>false</ScaleCrop>
  <Company>City of Durham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Keegan</dc:creator>
  <cp:lastModifiedBy>Zhang, Yanping</cp:lastModifiedBy>
  <cp:revision>2</cp:revision>
  <dcterms:created xsi:type="dcterms:W3CDTF">2023-05-23T14:23:00Z</dcterms:created>
  <dcterms:modified xsi:type="dcterms:W3CDTF">2023-05-23T14:26:00Z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2023-05-23T00:00:00Z</vt:filetime>
  </property>
</Properties>
</file>